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03.07.2020, оставленным без изменения постановлением Девятого арбитражного апелляционного суда от 15.10.2020, иск удовлетворен в части признания договоров недействительными. Арбитражный суд Московского округа постановлением от 03.02.2021 решение от 03.07.2020 и Девятого арбитражного апелляционного суда от 15.10.2020 оставил без изменения. В кассационной жалобе акционерное общество «Банк ДОМ.РФ» просит об отмене судебных актов, ссылаясь на неосновательное освобождение истца от 2 доказывания условий недействительности сделок, неправильное исчисление срока исковой давности в отношении оспаривания ничтожных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Вопреки доводу заявителя стороны имели разнонаправленные воли, что установлено в рамках уголовного судопроизводства, принятые к котором судебные акты признаны определяющими начало течения срока исковой давности в силу пункта 1 статьи 200 Гражданского кодекса Российской Федерации. Исследовав правоотношения сторон, суды правильно применили к ним нормы статей 10, 179 Гражданского кодекса Российской Федерации. Установленные приговорами обстоятельства, относящиеся к действиям заключавших оспариваемые договоры лиц, применены судами для оценки юридической силы договоров в соответствии с пунктом 4 статьи 69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«Банк ДОМ.РФ»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