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17.10.2020, оставленным без изменения постановлением Девятого арбитражного апелляционного суда от 10.12.2020, взыскано 1 890 000 рублей задолженности и 605 667 рублей 28 копеек процентов. Арбитражный суд Московского округа постановлением от 26.02.2021 решение от 17.10.2020 и постановление Девятого арбитражного апелляционного суда от 10.12.2020 оставил без изменения. В кассационной жалобе предприниматель просит об отмене судебных актов, ссылаясь на неверное толкование условий цессии в части объема перешедшего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пункта 1 статьи 384 Гражданского кодекса Российской Федерации право первоначального кредитора переходит к новому кредитору в том объеме и на тех условиях, которые существовали к моменту перехода права, если иное не предусмотрено договором. Судами установлено, что в соответствии с условиями договора уступки права требования от 17.07.2020 № 3823-4 (цессия) объем переданных истцу прав по заемному обязательству составляет 1 890 000 рублей основной задолженности и 605 667 рублей 28 копеек процентов, поэтому отказ в удовлетворении иска на большую сумму является правомерным. Иное толкование условий цессии и норм права не отвечает критериям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Силкин Алексей Александрович (подробнее) ООО "Партнер" (подробнее) Ответчики: АО "ПОЛИТЕХСТРОЙ"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