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кредитор обратился в суд с заявлением о признании недействительным договора купли-продажи квартиры, расположенной по адресу: Санкт-Петербург, Фермское шоссе, д. 20, корп. 1, лит. А, кв. № 217, общей площадью 126,7 кв.м., кадастровым номером 78:34:041802:1605 (далее – квартира), заключенного 24.04.2018 между должником, Раковой Динарой Викторовной и Николаевым Валерием Николаевичем; применении последствий недействительности сделки. Определением Арбитражного суда города Санкт-Петербурга и Ленинградской области от 12.02.2020, оставленным без изменения постановлениями Тринадцатого арбитражного апелляционного суда от 22.10.2020 и Арбитражного суда Северо-Западного округа от 02.02.2021,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об удовлетворении заявления.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 руководствовались пунктом 2 статьи 61.2 Федерального закона от 26.10.2002 № 127-ФЗ «О несостоятельности (банкротстве)» и не установили совокупности условий для признания недействительной оспариваемой сделки, заключенной на рыночных условиях и не повлекшей причинения вреда имущественным правам кредиторов.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Доводы, изложенные в настоящей жалобе,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Любану Александру Исааковичу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