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19.10.2020, оставленным без изменения постановлением Девятого арбитражного апелляционного суда от 23.12.2020 и постановлением Арбитражного суда Московского округа от 26.02.2021, исковые требования удовлетворены в части признания недействительным договора поставки от 02.10.2017 № 995/17/СГК, заключенного между компанией и обществом, применены последствия 2 недействительности названного договора в виде обязания общества возвратить компании в течение 10-ти рабочих дней с даты вступления решения в законную силу 598 железнодорожных вагонов-цистерн, переданных по указанному договору, с оригиналами технического паспорта по форме ВУ-4 на каждый железнодорожный вагон-цистерну, компании – возвратить обществу стоимость 598 железнодорожных вагонов-цистерн, переданных по договору в сумме 811 486 000 руб. в течение 10-ти рабочих дней с даты возврата вагонов; в удовлетворении требований завода к обществу отказано. В кассационной жалобе, поданной в Верховный Суд Российской Федерации, общество, выражая несогласие с выводами судов в части удовлетворения требований компании, просит отменить указанные судебные акты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статьями 10, 167, 168, 421, 431, 434.1, 455 Гражданского кодекса Российской Федерации, положениями Федерального закона от 29.10.1998 № 164-ФЗ «О финансовой аренде (лизинге»),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наличии оснований для удовлетворения требований компании, исходя из доказанности недобросовестного поведения общества при ведении переговоров в рамках заключения спорного договора. Суд округа согласился с выводом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«ТрансФин-М»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