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07.08.2020, оставленным без изменения постановлением Одиннадцатого арбитражного апелляционного суда от 08.12.2020 и постановлением Арбитражного суда Поволжского округа от 17.02.2021, первоначальные исковые требования удовлетворены, встречные исковые требования оставлены без рассмотрения. Общество обратилось в Судебную коллегию по экономическим спорам Верховного Суда Российской Федерации с кассационной жалобой на указанные судебные акты, ссылаясь на существенные нарушения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154, 167, 168, 395, 410, 1102, 1105 Гражданского кодекса Российской Федерации, положениями Федерального закона от 03.06.2009 № 103-ФЗ «О деятельности по приему платежей физических лиц, осуществляемой платежными агентами», суды первой и апелляционной инстанций пришли к выводу о том, что денежные средства, полученные платежным агентом от плательщиков, не могли быть зачтены обществом в качестве погашения задолженности управляющей компании перед платежным агентом, так как имеют строго целевой характер использования. В связи с признанием зачета недействительной сделкой, учитывая экспертное заключение, суды применили последствия недействительности сделки и признали обоснованным и подлежащим удовлетворению требование о взыскании неосновательного обогащения. Установив, что во встречном иске заявлены требования, которые в соответствии с федеральным законом должны быть рассмотрены в деле о банкротстве должника - компании, и эти требования не относятся к текущим платежам, руководствуясь пунктом 4 части 1 статьи 148 Арбитражного процессуального кодекса Российской Федерации, суды оставили встречные требования без рассмотрения. Суд округа согласился с выводами судов первой и апелляционной инстанций. 3 Доводы кассационной жалобы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«Русло»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