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мая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2 Оценив доводы, изложенные в ходатайстве, суд приходит к выводу о наличии оснований для его удовлетворения. Руководствуясь статьями 102, 184, 185 Арбитражного процессуального кодекса Российской Федерации, статьями 333.22,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общества с ограниченной ответственностью «Титан-транзит ДВ» удовлетворить. Предоставить обществу с ограниченной ответственностью «Титан-транзит ДВ»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