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Приморского края от 31.08.2020, оставленным без изменения постановлением Пятого арбитражного апелляционного суда от 12.11.2020 и постановлением Арбитражного суда Дальневосточного округа от 19.02.2021, с общества в пользу предприятия взыскано 444 365 руб. 72 коп. неосновательного обогащения, 3059 руб. 57 коп. процентов за пользование чужими денежными средствами, а также проценты за пользование чужими денежными средствами, начисленные на сумму долга, исходя из ключевой ставки Банка России, действующей в соответствующие периоды, начиная с 11.04.2020 до даты фактической оплаты долга; в удовлетворении остальной части исковых требований отказано. 2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в части удовлетворения исковых требований и направить дело на новое рассмотрение в соответствующий арбитражный суд.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309, 310, 395, 614, 632, 1102, 1107 Гражданского кодекса Российской Федерации, разъяснениями, изложенными в информационном письме Президиума Высшего Арбитражного Суда Российской Федерации от 11.01.2000 № 49 «Обзор практики рассмотрения споров, связанных с применением норм о неосновательном обогащении», суды первой и апелляционной инстанций пришли к выводу о наличии оснований для частичного удовлетворения исковых требований. В частности, суды исходили из того, что обществом (исполнитель) выставлены, а предприятием (заказчик) оплачены счета за подачу техники в виде дополнительного часа работы, оплата доставки которой спорными договорами не предусмотрена, поэтому внесенная заказчиком оплата за период с 08.08.2018 по 05.11.2018 в сумме 444 365 руб. 72 коп. является неосновательным обогащением общества и должна быть возвращена истцу; ответчик также обязан уплатить истцу проценты, начисленные на сумму неосновательного обогащения с 29.02.2020. Суд округа признал выводы судов первой и апелляционной инстанций законным и обоснованным. Доводы заявителя, в том числе о нарушении судами первой и апелляционной инстанций норм процессуального права, были предметом рассмотрения суда округа и не нашли своего подтверждения. 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3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«Примтехснаб»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