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29.06.2020, оставленным без изменения постановлением Седьмого арбитражного апелляционного суда от 23.09.2020, взыскано 72 139 рублей 64 копеек штрафа. Арбитражный суд Западно-Сибирского округа постановлением от 28.01.2021 решение от 29.06.2020 и постановление Седьмого арбитражного апелляционного суда от 23.09.2020 оставил без изменения В кассационной жалобе фонд просит об отмене судебных актов, ссылаясь на неправомерное уменьшение законной ответственности.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о невозможном уменьшении законной ответственности противоречит судебной практике применения статьи 333 Гражданского кодекса Российской Федерации. Обстоятельства, составляющие условия для применения ответственности и влияющие на ее размер, установлены судами в соответствии с компетенцией и требуемая их переоценка не отвечает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фонду обязательного медицинского страхования Кемеровской области в передаче заявления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