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16.06.2020, оставленным без изменения постановлением Тринадцатого арбитражного апелляционного суда от 10.11.2020, первоначальный иск удовлетворен, во встречном иске отказано. Арбитражный суд Северо-Западного округа постановлением от 24.02.2021 решение от 16.06.2020 и постановление Тринадцатого арбитражного апелляционного суда от 10.11.2020 оставил без изменения. В кассационной жалобе компания просит об отмене судебных актов вследствие игнорирования объективной причины допущенного простоя.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руководствовались статьями 425, 443 Гражданского кодекса Российской Федерации, статьей 39, 55 Федерального закона от 10.01.2003 № 18-ФЗ «Устав железнодорожного транспорта Российской Федерации» при обязании компании оплатить нахождение железнодорожных вагонов на железнодорожных путях общего пользования. Отсутствие договора не влечет сложения названной обязанности. В отсутствие вины ответчика в простое и последующей переадресации железнодорожных вагонов требование компании о взыскании убытков правомерно признано противоречащим статьям 15, 393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«Западная железнодорожная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