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10.08.2020, оставленным без изменения постановлением Пятнадцатого арбитражного апелляционного суда от 22.10.2020 и постановлением Арбитражного суда Северо-Кавказского округа от 01.02.2021, с управления в пользу предпринимателя взыскано 696 478 руб. долга, 24 557 руб. 61 коп. процентов за пользование чужими денежными средствами, проценты, начисленные 2 на сумму основного долга, начиная с 18.02.2020 по день фактической оплаты долга, в удовлетворении остальной части исковых требований отказано.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предпринимателя предъявлены на основании договора уступки права требования от 20.09.2019 № 1, заключенного с обществом, согласно условиям которого последнее уступило предпринимателю право требования к управлению, основанное на договоре поставки товара от 09.02.2017 № 09/02/17.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обществом товара на спорную сумму и неисполнения управлением обязанности по его оплате, руководствуясь статьями 309, 310, 382, 388, 395, 431, 506, 516 Гражданского кодекса Российской Федерации, суды первой и апелляционной инстанций пришли к выводу о наличии оснований для взыскания с ответчика задолженности и процентов за пользование чужими денежными средствами с учетом корректировки периода их начисления. Суд округа согласился с выводами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«Репнянское карьероуправление»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