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28.07.2020, оставленным без изменения постановлением Девятого арбитражного апелляционного суда от 14.10.2020 и постановлением Арбитражного суда Московского округа от 01.02.2021,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договора, установив, что учреждение из суммы платежей по договору произвело удержание неустойки, начисленной за нарушение обществом обязательств по договору, и произвело зачет встречных однородных требований путем направления последнему соответствующего письма, дополнительные работы не являлись предметом закупки и не включены в смету договора, руководствуясь статьями 309, 310, 330, 410, 421, 711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требований. Проверяя законность принятых судами первой и апелляционной инстанций судебных актов и устанавливая правильность применения указанными судами норм материального и процессуального права при рассмотрении дела, суд округа, действуя в пределах осуществления полномочий, предоставленных ему статьями 286 - 288 Арбитражного процессуального кодекса Российской Федерации, не усмотрел оснований для отмены решения и постановления.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«Альтаир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