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29.10.2019 в удовлетворении иска отказано. Девятый арбитражный апелляционный суд постановлением от 19.10.2020 рассмотрел дело по правилам для суда первой инстанции, отменил решение от 29.10.2020 и отказал в удовлетворении иска. Арбитражный суд Московского округа постановлением от 12.03.2021 постановление Девятого арбитражного апелляционного суда от 19.10.2020 оставил без изменения. В кассационной жалобе общество просит об отмене судебных актов апелляционного и окружного судов, ссылаясь на неисследование обстоятельств угона и обнаружения застрахованного транспортного средства.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стороны в порядке статей 929, 942 Гражданского кодекса Российской Федерации согласовали последствия обнаружения транспортного средства до выплаты страхового возмещения по риску его угона. Исходя из установленных судами обстоятельств, место нахождения застрахованного транспортного средства известно, поэтому в отношении страховой выплаты суды правомерно руководствовались условиями страхования и применили предусмотренные им последствия.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«БЭЛТИ-ГРАНД»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