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16.07.2020, оставленным без изменения постановлением Четырнадцатого арбитражного апелляционного суда от 14.09.2020 и постановлением Арбитражного суда Северо-Западного округа от 26.01.2021, иск оставлен без рассмотрения на основании пункта 8 части 1 статьи 148 Арбитражного процессуального кодекса Российской Федерации. В кассационной жалобе общество «Запань» просит об отмене судебных актов, ссылаясь на наличие условий для взыскания спорной суммы по правилам статей 15, 1064 Гражданского кодекса российской Федерации.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заявленная сумма относится к судебным расходам, понесенным обществом «Запань» в связи с рассмотрением дел № А13-2763/2015 и № А13-12462/2017 Арбитражного суда Вологодской области. При наличии специального порядка взыскания судебных расходов, установленного статьей 112 Арбитражного процессуального кодекса Российской Федерации, суды правомерно оставили данное заявление без рассмотрения.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«Запань»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