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03.07.2020, оставленным без изменения постановлением Девятого арбитражного апелляционного суда от 22.09.2020 и постановлением Арбитражного суда Московского округа от 26.01.2021, в удовлетворении первоначальных исковых требований отказано, встречные исковые требования удовлетворены. В кассационной жалобе, поданной в Верховный Суд Российской Федерации, компания,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соответствующий арбитражный суд в ином составе судей.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предъявленные взаимные требования компании (исполнитель) и общества (заказчик) основаны на договоре от 28.02.2018 № 006334-02/181ССОN6, от исполнения которого заказчик отказался в одностороннем порядке в связи с нарушением исполнителем сроков выполнения работ и неустранением им недостатков, указанных в мотивированных отказах от принятия работ. Исследовав и оценив по правилам статьи 71 Арбитражного процессуального кодекса Российской Федерации представленные в материалы дела доказательства, квалифицировав спорный договор как договор подряда, установив факт перечисления обществом в пользу компании денежных средств по договору, его прекращения и отсутствие доказательств надлежащего выполнения компанией работ либо возврата суммы полученных ею денежных средств, руководствуясь статьями 328, 330, 405, 702, 708, 703, 715, 721, 1102, 1107 Гражданского кодекса Российской Федерации, суды первой и апелляционной инстанций пришли к выводу о наличии оснований для отказа в удовлетворении первоначальных исковых требований и удовлетворения встречных требований, с чем впоследствии согласился суд округа.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в кассационной жалобе не приведено.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«Группа компаний «КОРУС Консалтинг»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