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05.06.2020, оставленным без изменения постановлением Тринадцатого арбитражного апелляционного суда от 10.09.2020, в удовлетворении иска отказано. Арбитражный суд Северо-Западного округа постановлением от 29.01.2021 решение от 05.06.2020 и постановление Тринадцатого арбитражного апелляционного суда от 10.09.2020 оставил без изменения. В кассационной жалобе общество «Росгосстрах» просит об отмене судебных актов как не соответствующих закону и обстоятельствам совершения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 пунктом 3 статьи 944 Гражданского кодекса Российской Федерации страховщик вправе требовать признания договора недействительным и применения последствий, предусмотренных пунктом 2 статьи 179 Кодекса, если после заключения договора страхования будет установлено, что страхователь сообщил страховщику заведомо ложные сведения об обстоятельствах, имеющих существенное значение для определения вероятности наступления страхового случая и размере возможных убытков от его наступления. Суды не установили наличия таких обстоятельств, находящихся в причинно-следственной связи с произошедшим событием, в рамках урегулирования которого предъявлен настоящий иск.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