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10.06.2020, оставленным без изменения постановлением Тринадцатого арбитражного апелляционного суда от 20.10.2020, в удовлетворении требования отказано. 2 Постановлением Арбитражного суда Северо-Западного округа от 08.02.2021 указанные судебные акты оставлены без изменения.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357, 358, 362 Налогового кодекса Российской Федерации (в действующей в спорный период редакции), суды отказали в удовлетворении требований, признав факт занижения обществом транспортного налога в связи с неисчислением его в отношении зарегистрированного транспортного средства. Доводы жалобы были предметом оценки судов и отклонены исходя из отсутствия объективных причин, препятствующих совершению обществом действий по обращению в компетентные органы с заявлением о снятии с регистрационного учета соответствующего объекта налогообложения, не согласиться с которой по доводам жалобы оснований не имеется. Выводы судов не противоречат правовым позициям, изложенным в постановлении Президиума Высшего Арбитражного Суда Российской Федерации от 15.12.2011 № 12223/10, определении Судебной коллегии по экономическим спорам Верховного Суда Российской Федерации от 17.02.2015 № 306-КГ14-5609, в отсутствие оснований для применения положений пунктов 3 и 4 статьи 5 Налогового кодекса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