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10.07.2020, оставленным без изменения постановлением Тринадцатого арбитражного апелляционного суда от 02.11.2020 и постановлением Арбитражного суда Северо-Западного округа от 04.02.2021,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мотивирован возникновением на стороне компании неосновательного обогащения в связи с отсутствием у общества оснований для оплаты услуг по хранению.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издержки компании по хранению товара возникли вследствие нарушения обществом требований к маркировке товаров, что послужило основанием для возбуждения дела об административном правонарушении, изъятия и передачи таможенным органом товара на ответственное хранение компании; с момента вступления в силу постановления таможни по делу об административном правонарушении, которым определен возврат товара законному владельцу для помещения его под соответствующую таможенную процедуру, между обществом и компанией возникли правоотношения по хранению товара, в связи с чем независимо от наличия или отсутствия заключенного между сторонами договора услуги хранителя являются платными. При таких обстоятельствах, руководствуясь статьями 886, 889, 896, 897, 1102 Гражданского кодекса Российской Федерации, суды пришли к выводу о том, что перечисленные обществом денежные средства за оказанные компанией услуги являются вознаграждением последней и не могут быть расценены как неосновательное обогащение, поэтому отказали в удовлетворении иска. Суд округа согласился с выводами судов первой и апелляционной инстанций. Доводы кассационной жалобы не подтверждают существенных нарушений судами норм материального права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«Пултек»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