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27.08.2020, оставленным без изменения постановлением Одиннадцатого арбитражного апелляционного суда от 05.11.2020, признано незаконным и изменено оспариваемое постановление в части назначенного наказания, штраф заменен на предупреждение. Постановлением Арбитражного суда Поволжского округа от 11.02.2021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движения транспортного средства общества, имеющего разрешенную максимальную массу свыше 12 тонн, без внесения платы в счет возмещения вреда, причиняемого автомобильным дорогам общего пользования федерального значения, что является нарушением требований пункта 1 статьи 31.1 Федерального закона от 08.11.2007 № 257-ФЗ «О дорогах и дорожной деятельности в Российской Федерации и о внесении изменений в отдельные законодательные акты Российской Федерации». Частью 1 статьи 12.21.3 Кодекса Российской Федерации об административных правонарушениях предусмотрена административная ответственность за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3 федерального значения таким транспортным средством, если внесение такой платы является обязательным. Оценив представленные доказательства, руководствуясь положениями Федерального закона от 08.11.2007 № 257-ФЗ «О дорогах и дорожной деятельности в Российской Федерации и о внесении изменений в отдельные законодательные акты Российской Федерации», постановления Правительства РФ от 14.06.2013 № 504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Федерального закона от 26.06.2008 № 102-ФЗ «Об обеспечении единства измерений»,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12.21.3 Кодекса Российской Федерации об административных правонарушениях, признав, что движение транспортного средства с использованием не поверенного бортового устройства не может считаться движением с наличием такого устройства и соблюдении требований статьи 31.1 Федерального закона № 257-ФЗ. Суды указали, что процедура и срок давности привлечения к административной ответственности соблюдены, вина заявителя в совершении правонарушения с учетом положений статьи 2.1 Кодекса Российской Федерации об административных правонарушениях установлена. Доводы жалобы были предметом исследования судов и получили исчерпывающую правовую оценку в обжалуемых судебных актах с учетом отсутствия доказательств, свидетельствующих о том, что начисления в системе взимания платы сформированы надлежащим образом, не согласиться с которой с учетом доводов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