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05.06.2020, оставленным без изменения постановлением Семнадцатого арбитражного апелляционного суда от 18.08.2020, взыскано 216 300 рублей компенсационной выплаты и 12 000 рублей расходов на судебную экспертизу. Арбитражный суд Уральского округа постановлением от 01.02.2021 решение от 05.06.2020 и постановление Семнадцатого арбитражного апелляционного суда от 18.08.2020 оставил без изменения. В кассационной жалобе Российский союз автострховщиков просит об отмене судебных актов вследствие отсутствия у истца права на получение компенсационной выплаты.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Истцу перешли права выгодоприобретателя на получение выплаты в рамках договора обязательного страхования по сделке, предусматривающей перемену лица в обязательстве. В силу пункта 2.1 статьи 18 Федерального закона от 25.04.2002 № 40-ФЗ «Об обязательном страховании гражданской ответственности владельцев транспортных средств» выгодоприобретатели отнесены к лицам, имеющим право на получение компенсационных выплат.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