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29.06.2020, оставленным без изменения постановлением Седьмого арбитражного апелляционного суда от 06.10.2020, иск удовлетворен. Арбитражный суд Западно-Сибирского округа постановлением от 01.02.2020 изменил решение от 29.06.2020 и постановление Седьмого арбитражного апелляционного суда от 06.10.2020 и взыскал 419 520 рублей страхового возмещения. В кассационной жалобе страховая компания просит об отмене судебных актов ссылаясь на неустановление обстоятельств, влияющих на признание заявленного события страховым случаем.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Попадание заявленных убытков под исключения из страхового покрытия, предусмотренные генеральным договором страхования грузов от 01.08.2014 № 07-245/2014, не установлено, поэтому взыскание страхового возмещения соответствует договору и статьям 929, 942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«Пари»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