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29.09.2020, оставленным без изменения постановлением Девятого арбитражного апелляционного суда от 28.12.2020, в удовлетворении иска отказано. Арбитражный суд Московского округа постановлением от 16.03.2021 решение от 29.09.2020 и постановление Девятого арбитражного апелляционного суда от 28.12.2020 оставил без изменения. В кассационной жалобе предприниматель просит об отмене судебных актов, ссылаясь на обязанность возмещения причитающейся доли исходя из солидарности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заявленную сумму не отвечающей признакам неосновательного обогащения, учитывая получение её третьим лицом как выгодоприобретателем от одного из застраховавших ответственность должника лиц и требования ее взыскания без учета полученных обеими сторонами выплат от других страховщиков.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И.Д.НБ.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Министерство финансов Российской Федерации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