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«Золото Курьи» (далее – общество) обратилось в суд с заявлением о включении в реестр требований кредиторов должника задолженности в размере 10 788 250 рублей 98 копеек. Определением Арбитражного суда города Москвы от 06.03.2019, оставленным без изменения постановлениями Девятого арбитражного апелляционного суда от 13.05.2019 и Арбитражного суда Московского округа от 26.08.2019,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361 , 363 , 422 , 431 , 431.2 Гражданского кодекса Российской Федерации, статьями 71, 100, 142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неисполненного должником обеспечительного обязательства перед обществом, привлечённым к налоговой ответственности и исполнившим свои обязанности по уплате доначисленных налогов и обязательных платежей, и, как следствие, оснований для включения его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"Банк Город" (подробнее) Ответчики: Сидоренко А,Ю. (подробнее) Иные лица: НП "Ассоциация МСРО АУ" (подробнее) Судьи дела: Корнелюк Е.С. (судья) (подробнее) Последние документы по делу: Определение от 31 мая 2021 г. по делу № А40-32331/2017 Определение от 30 октября 2019 г. по делу № А40-32331/2017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