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14.08.2020, принятым в порядке упрощенного судопроизводства и оставленным без изменения постановлением Девятого арбитражного апелляционного суда от 30.10.2020, иск удовлетворен. Постановлением Арбитражного суда Московского округа от 12.02.2021 решение и постановление апелляционного суда отменены в иске отказано. В кассационной жалобе птицефабрика просит об отмене постановления окружного суда, ссылаясь на неустановление обстоятельства, в связи с которым отказал в иске. В силу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 несоответствие выводов нижестоящих судов представленным в упрощенное производство письменным доказательствам, поэтому отменил судебные акты в пределах имеющихся в силу статей 286 , 287 , 288.2 Арбитражного процессуального кодекса Российской Федерации полномочий и оснований.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«Петелинская птицефабрика»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"Петелинская птицефабрика" (подробнее) Ответчики: ООО "НВЦ Агроветзащита С-П."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