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28.04.2017 в удовлетворении заявленного требования отказано. Постановлением Девятого арбитражного апелляционного суда от 11.09.2017 решение суда первой инстанции отменено, заявление общества удовлетворено. Постановлением Арбитражного суда Московского округа от 29.12.2017 постановление суда апелляционной инстанции от 11.09.2017 отменено, решение суда от 28.04.2017 оставлено в силе.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постановление суда округа и оставить в силе постановление суда апелляционной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оспоренным решением, принятым по результатам выездной налоговой проверки общества, инспекцией доначислены налог на прибыль организаций и налог на добавленную стоимость в общей сумме 208 158 391 рубль, начислено 45 104 912 рублей пеней и 42 017 176 рублей штрафов по данным налогам. Основанием для доначисления указанных сумм послужил вывод налогового органа о занижении налогоплательщиком налоговой базы при исчислении налога на прибыль вследствие включения в состав расходов затрат по взаимоотношениям с ООО «Люкс Строй» и ООО «Евроград» и необоснованном применении налоговых вычетов по НДС на основании счетов-фактур, выставленных от имени данных контрагентов. Отказывая в удовлетворении заявленных требований, суд первой инстанции, выводы которого поддержал суд округа, оценив представленные в материалы дела доказательства, в том числе протоколы допроса свидетелей и заключения строительной экспертизы, руководствуясь положениями статей 169 , 171 , 172 , 252 Налогового кодекса,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пришел к выводу о доказанности налоговым органом правовых оснований для вынесения оспоренного решения ввиду наличия совокупности обстоятельств, свидетельствующих о направленности действий общества на получение из бюджета необоснованной налоговой выгоды. При этом суд первой инстанции признал выводы инспекции доказанными и указал, что представленные обществом первичные документы не могут быть приняты в качестве доказательств обоснованности применения налоговых вычетов по НДС и учета расходов в целях налогообложения налогом на прибыль организаций, поскольку содержат недостоверные сведения и не подтверждают реальность хозяйственных операций с заявленными в них контрагентами, созданными незадолго до заключения договоров, отсутствующими по месту регистрации, не имеющими активов, сотрудников, транспортных средств, спецтехники, не несущих расходов на обычную хозяйственную деятельность и выплату зарплаты, а также обладающими иными признаками номинальных структур. Довод общества о нарушении судом округа норм процессуального права, выразившихся в превышении полномочий и переоценке представленных в материалы дела доказательств, подлежит отклонению как не нашедший своего подтверждения в ходе рассмотрения кассационной жалобы. Позиция заявителя о необходимости применения расчетного метода подлежит отклонению, поскольку оснований для применения такого метода определения налоговых обязательств не имелось с учетом представления обществом для налоговой проверки всех имеющихся у него документов. Иные доводы, изложенные в кассационной жалобе, не подтверждают наличие существенных нарушений норм материального права и норм процессуального права, повлиявших на исход дела, выражают несогласие с оценкой судов представленных в материалы дела доказательств и выводами по фактическим обстоятельствам спора, основаны на ошибочном толковании применительно к ним положений законодательства, что в силу статьи 291.6 Арбитражного процессуального кодекса Российской Федерации не может служить основанием для пересмотра судебных актов в кассационном порядке.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«Стройтехносервис»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ЗАО "Стройтехносервис" (подробнее) Ответчики: Межрайонная ИФНС России №45 по г. Москве (подробнее) Межрайонной ИФНС России №45 по г.Москве (подробнее) Последние документы по делу: Определение от 31 мая 2021 г. по делу № А40-30869/2017 Определение от 23 апреля 2018 г. по делу № А40-30869/2017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