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16.07.2020, оставленным без изменения постановлением Семнадцатого арбитражного апелляционного суда от 07.10.2020 и постановлением Арбитражного суда Уральского округа от 29.01.2021, в удовлетворении иска отказано. В кассационной жалобе общество «Челябинск Профит» просит о пересмотре судебных актов, ссылаясь нарушение права на установление обстоятельств, имеющих значение для объективного рассмотрения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необходимые для взыскания убытков в силу статей 15 , 393 Гражданского кодекса Российской Федерации, установлены судами в соответствии с компетенцией. Переоценка выводов судов в отношении условий применения ответственности не отвечает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«Челябинск Профит»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"Челябинск Профит" (подробнее) Ответчики: ООО ТОРГОВЫЙ ДОМ СТМ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