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30.06.2020, оставленным без изменения постановлением Четвертого арбитражного апелляционного суда от 30.09.2020 и постановлением Арбитражного суда Восточно-Сибирского округа от 01.02.2021, в удовлетворении иска отказано в связи с недоказанностью неосновательного обогащения ответчика за счет истца. В кассационной жалобе общество просит о пересмотре судебных актов, ссылаясь на неправомерное освобождение ответчика от исполнения обязанности по возврату спорной суммы, удерживаемой без оснований.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связаны общим видом экономической деятельности и платежный документ, на основании которого перечислялась спорная сумма, содержит указание на основание платежа. Установленные обстоятельства не позволили признать наличие у спорной суммы признаков неосновательно полученной.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,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«Мангус»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"Магнус"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