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Иркутской области от 30.07.2020, оставленным без изменения постановлением Четвертого арбитражного апелляционного суда от 12.10.2020, в иске отказано. 2 Постановлением Арбитражного суда Восточно-Сибирского округа от 02.02.2021 указанные судебные акты оставлены без изменения. Общество обратилось в Верховный Суд Российской Федерации с кассационной жалобой, в которой просит названные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статей 309, 432, 779, 782 Гражданского кодекса Российской Федерации, статьи 95 Федерального Закона Российской Федерации от 05.04.2013 № 44-ФЗ «О контрактной системе в сфере закупок товаров, работ, услуг для обеспечения государственных и муниципальных нужд», суды в иске отказали, признав обоснованными действия заказчика по одностороннему отказу от исполнения контракта в отсутствие доказательств достижения согласованного в контракте результата в установленный срок. Доводы жалобы были предметом исследования судов и получили исчерпывающую правовую оценку с учетом представленных сторонами доказательств, не согласиться с которыми оснований не имеется. Доводы жалобы, связанные с извещением третьего лица, в отсутствие жалобы указанного лица сами по себе не могут служить основанием для отмены судебных актов. Каким образом указанные обстоятельства привели или могли привести к принятию неправильного решения, в жалобе не указано.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