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уступки прав (цессии) от 01.11.2017 № 1/2017, заключенного между должником и обществом с ограниченной ответственностью «Стройводхоз», применении последствий недействительности в виде возврата полученного по сделке. Определением Арбитражного суда Красноярского края от 22.09.2020, оставленным без изменения постановлениями Третьего арбитражного апелляционного суда от 29.12.2020 и Арбитражного суда Восточно-Сибирского округа от 11.03.2021,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382, 384, 388.1, 432 Гражданского кодекса Российской Федерации, пунктом 2 статьи 61.2 Федерального закона от 26.10.2002 № 127-ФЗ «О несостоятельности (банкротстве)», исходили из того, что предмет оспариваемой сделки не определён, её существенные условия не согласованы, в связи с чем признали сделку незаключённой и не порождающей правовых последствий для сторон, отказав в удовлетворении заявленных требований. Выводы судов соответствуют нормам права, оснований для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«Филимоновский Жилищный Комплекс» Шухату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