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30.07.2020, оставленным без изменения постановлением Восьмого арбитражного апелляционного суда от 16.11.2020, в удовлетворении заявленного требования отказано. Постановлением Арбитражного суда Западно-Сибирского округа от 24.02.2021 указанные судебные акты оставлены без изменения. В кассационной жалобе, поступившей в Верховный Суд Российской Федерации, общество просит отменить принятые по делу судебные акты,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373 , 374 , 378 , 378.1 , 380 Налогового кодекса Российской Федерации, Федерального закона от 26.03.2003 № 35-ФЗ «Об электроэнергетике», Федерального закона от 27.07.2010 № 190-ФЗ «О теплоснабжении», Закона Омской области от 21.11.2003 № 478-ОЗ «О налоге на имущество организаций», Перечня имущества, относящегося к железнодорожным путям общего пользования, федеральным автомобильным дорогам общего пользования, магистральным трубопроводам, линиям энергопередач, а также сооружений, являющихся неотъемлемой технологической частью указанных объектов, утвержденным постановлением Правительства Российской Федерации от 30.09.2004 № 504, суды отказали в удовлетворении заявленных требований, признав, что спорное имущество не входит в состав линий энергопередач и не подлежит налогообложению по льготным ставкам, налоговый орган правомерно отнес основное средство не к стационарному компрессору, а к стационарной компрессорной станции, изменив амортизационную группу.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 и представленным доказательствам,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"Территориальная Генерирующая компания №11" (подробнее) Ответчики: Межрайонная инспекция Федеральной налоговой службы №5 по Омской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