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Глухов Николай Александрович обратился в суд с заявлением о привлечении Нилова А.Н к субсидиарной ответственности по денежным обязательствам должника в сумме 3 400 548 рублей 04 копеек. Определением Арбитражного суда Самарской области от 14.08.2020, оставленным без изменения постановлениями Одиннадцатого арбитражного апелляционного суда от 03.11.2020 и Арбитражного суда Поволжского округа от 03.03.2021, заявление удовлетворено. С Нилова А.Н. в конкурсную массу должника взысканы убытки в размере 3 400 548 рублей 04 копеек.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Разрешая спор, суды, руководствуясь статьями 10, 15, 53, 53.1, 1064, 1082 Гражданского кодекса Российской Федерации, статьями 61.10, 61.11 Федерального закона от 26.10.2002 № 127-ФЗ «О несостоятельности (банкротстве)», исходили из того, что перевод заявителем с подконтрольного юридического лица ликвидной дебиторской задолженности на другое подконтрольное юридическое лицо без соразмерной оплаты не могло привести к банкротству должника, однако причинило последнему убытки в соответствующем размере, в связи с чем пришли к верному выводу о наличии оснований для их взыскания с контролирующего должника лица в конкурсную массу.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поданной заявителем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Нилову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