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 суд поступили переданные по подсудности заявление Бекетовой Е.В. к должнику о взыскании заработной платы и встречный иск должника к Бекетовой Е.В. о возмещении ущерба, причинённого работником при исполнении трудовых обязанностей. Вышеуказанные заявления выделены в отдельные производства. Определением Арбитражного суда Кемеровской области от 17.08.2020, оставленным без изменения постановлениями Седьмого арбитражного апелляционного суда от 14.10.2020 и Арбитражного суда Западно-Сибирского округа от 28.01.2021, отказано в удовлетворении заявления Бекетовой Е.В.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16, 71 и 100 Федерального закона от 26.10.2002 № 127-ФЗ «О несостоятельности (банкротстве)», пришли к выводу о недоказанности наличия причин для удовлетворения заявления по заявленным Бекетовой Е.В.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Бекетовой Елене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