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04.08.2020, оставленным без изменения постановлением Седьмого арбитражного апелляционного суда от 13.10.2020, оспариваемое постановление изменено в части назначения наказания, размер административного штрафа снижен до 10 000 рублей. Постановлением Арбитражного суда Западно-Сибирского округа от 04.02.2021 указанные судебные акты оставлены без изменения. Предприниматель просит обжалуемые судебные акты отменить, ссылаясь на допущенные, по его мнению, нарушения норм материального и процессуального права. Исходя из доводов жалобы оснований для ее удовлетворения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предпринимателем правил благоустройства, а именно: не произведена очистка от снежных навесов, наледи, сосулек крыши козырьков, карнизов здания, не выполнено ограждение опасных зон сигнальными лентами. Статьей 8.22 Закона Новосибирской области от 14.02.2003 № 99-ОЗ «Об административных правонарушениях в Новосибирской области» предусмотрена административная ответственность за нарушение требований, установленных нормативными правовыми актами органов местного самоуправления в области благоустройства. Оценив представленные доказательства, руководствуясь положениями Правил благоустройства территории города Новосибирска, утвержденных решением Городского совета Новосибирска от 27.09.2017 № 469, суды пришли к выводу о наличии в действиях предпринимателя состава вмененного административного правонарушения. Процедура и срок давности привлечения к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Факт принадлежности части помещений в здании иному лицу сам по себе не освобождает предпринимателя, являющегося собственником части помещений, от возложенной на него правилами благоустройства обязанности по надлежащему содержанию общего имущества. Иного лица, на которое такая обязанность возложена, в том числе, в связи с договором, не указано. Доводы жалобы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Административная комиссия Первомайского района города Новосибирска (подробнее) Иные лица: Арбитражный суд Западно-Сибирского округа (подробнее) Дзержинская Новосибирской области - адвокату Игнатьевой А.Б. (подробнее) Седьмой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