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«К2» (далее – общество) обратилось в суд с заявлением о включении в реестр требований кредиторов должника (далее – реестр) задолженности в размере 6 141 419 рублей 83 копеек, в том числе: основного долга – 4 270 178 рублей 41 копейки, процентов – 1 871 241 рублей 42 копеек. Определением Арбитражного суда Свердловской области от 31.07.2020, оставленным без изменения постановлением Семнадцатого арбитражного апелляционного суда от 02.10.2020, в удовлетворении заявления отказано. Постановлением Арбитражного суда Уральского округа от 24.02.2021 вышеуказанные судебные акты отменены, обособленный спор направлен на новое рассмотрение в Арбитражный суд Свердловской области. В кассационной жалобе, поданной в Верховный Суд Российской Федерации, заявитель просит отменить постановление суда округа, оставить в силе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и направляя обособленный спор на новое рассмотрение, суд округа, руководствуясь статьями 71, 100 Федерального закона от 26.10.2002 № 127-ФЗ «О несостоятельности (банкротстве)», пунктом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 из того, что изложенные в них выводы основаны на неполном выяснении фактических и имеющих существенное значение обстоятельств.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обжалуемого судебного акта, судом округа не допущено. При новом рассмотрении заявитель не лишён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«СтройМеталлИндустрия»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