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Национальный Банк «Траст» (далее – банк) обратилось в суд с заявлением о включении в реестр требований кредиторов должника (далее – реестр) задолженности в размере 9 727 094 рублей как обеспеченной залогом имущества должника. Определением Арбитражного суда Свердловской области от 09.10.2020, оставленным без изменения постановлением Семнадцатого арбитражного апелляционного суда от 21.12.2020, в удовлетворении заявления отказано. Постановлением Арбитражного суда Уральского округа от 16.03.2021 вышеуказанные судебные акты отменены, обособленный спор направлен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352, 353, 339.1 Гражданского кодекса Российской Федерации, разъяснениями, содержащимися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того, что изложенные в них выводы основаны на неправильном применении норм материального права в вопросе о возможности защиты нарушенного права кредитора путем обращения взыскания на имущество залогодателя – третьего лица, неполном выяснении фактических и имеющих существенное значение для дела обстоятельств.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«СтройМеталлИндустрия»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