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30.12.2019, оставленным без изменения постановлением Пятнадцатого арбитражного апелляционного суда от 30.05.2020 и постановлением Арбитражного суда Северо-Кавказского округа от 20.11.2020,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дела и доводов кассационной жалобы не установлено. Разрешая спор и отказывая в удовлетворении исковых требований, суды руководствовались статьями 195 , 196 , 199 , 200 , 203 , 204 Гражданского кодекса Российской Федерации и исходили из пропуска обществом срока исковой давности, о чем было заявлено ответчиком. Доводы заявителя о приостановлении течения срока исковой давности были предметом рассмотрения судов и получили правовую оценку. Изложенные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«Кубанькапстрой»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Кубанькапстрой (подробнее) Ответчики: ООО "А-Девелопмент"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