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18.08.2020, оставленным без изменения постановлением Девятого арбитражного апелляционного суда от 30.10.2020 и постановлением Арбитражного суда Московского округа от 03.02.2021, иск удовлетворен.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2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компания выполнила работы по договору надлежащим образом и в полном объеме, замечаний по стоимости, качеству и объему работ обществом не заявлено, срок уплаты гарантийного удержания наступил, при этом общество обязательства по его выплате не исполнило, руководствуясь статьями 309, 310, 702, 711, 740, 746, 755 Гражданского кодекса Российской Федерации, суды первой и апелляционной инстанций пришли к выводу о наличии оснований для удовлетворения иска, с чем впоследствии согласился суд округа. Доводы заявителя кассационной жалобы были предметом рассмотрения судов и получили правовую оценку, направлены на иную оценку доказательств и фактических обстоятельств дела, что не входит в компетенцию Судебной коллегии по экономическим спорам Верховного Суда Российской Федерации. Доводы жалобы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«Антс-Групп»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