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02.07.2020, оставленным без изменения постановлением Девятого арбитражного апелляционного суда от 30.09.2020 и постановлением Арбитражного суда Московского округа от 25.01.2021, с предпринимателя в пользу общества взыскано 153 981 руб. 50 коп. пеней, 3594 руб. 73 коп. расходов по уплате государственной пошлины, в удовлетворении остальной части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в части удовлетворения исковых требований.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330, 702, 708 Гражданского кодекса Российской Федерации, установив факт просрочки исполнения предпринимателем обязательств по спорному договору, суды первой и апелляционной инстанций признали обоснованным начисление обществом пеней. Проверив расчет пеней и скорректировав период их начисления, суды удовлетворили исковые требования частично,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Герасима Сергея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