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08.07.2020, оставленным без изменения постановлением Седьмого арбитражного апелляционного суда от 24.11.2020 и постановлением Арбитражного суда Западно-Сибирского округа от 18.02.2021, первоначальные исковые требования удовлетворены частично, с общества в пользу компании взыскано 541 548 руб. 39 коп. задолженности, 33 079 руб. 60 коп. процентов, в удовлетворении остальной части первоначальных требований, а также в удовлетворении встречных исковых требований отказано. В кассационной жалобе, поданной в Верховный Суд Российской Федерации, общество, ссылаясь на нарушение судами норм права, 2 просит отменить указанные судебные акты в части отказа в удовлетворении встречных исковых требований и принять новый судебный акт об их удовлетворении.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в обжалуемой части,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161, 162, 307, 886, 887, 1102, 1103, 1105 Гражданского кодекса Российской Федерации, пришли к выводу о недоказанности возникновения на стороне компании неосновательного обогащения за счет общества. В частности, суды исходили из отсутствия доказательств заключения сторонами договора хранения, а также доказательств, свидетельствующих о волеизъявлении компании на передачу спорного имущества на хранение обществу, и фактическом оказании им услуг по хранению этого имущества. Суд округа согласился с выводами судов первой и апелляционной инстанций. Доводы кассационной жалобы не опровергают выводы судов,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«Хлебопродукт»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