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Хакасия от 07.10.2020, оставленным без изменения постановлением Третьего арбитражного апелляционного суда от 26.11.2020, заявленные требования удовлетворены. Постановлением Арбитражного суда Восточно-Сибирского округа от 19.02.2021 указанные судебные акты оставлены без изменения. Административный орган обратился в Верховный Суд Российской Федерации с кассационной жалобой, в которой просит состоявшиеся по делу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доказательства, руководствуясь положениями Федерального закона от 27.12.2002 № 184-ФЗ «О техническом регулировании», Технического регламента Таможенного союза 013/2011, суды признали недоказанным наличие в действиях предпринимателя состава административного правонарушения, ответственность за совершение которого предусмотрена частями 1 и 2 статьи 14.43.1 Кодекса Российской Федерации об административных правонарушениях. Приведенные в кассационной жалобе доводы являлись предметом рассмотрения судов и получили исчерпывающую правовую оценку в соответствующих судебных актах, с учетом представленных доказательств, не согласиться с которой оснований не имеется. Доводов, подтверждающих существенные нарушения норм материального и процессуального права, которые могли повлиять на исход дела и являются достаточным основанием для пересмотра обжалуемых судебных актов в кассационном порядке, заявителем не приведено.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Ответчики: Сибирское межрегиональное территориальное управление Федерального агентства по техническому регулированию и метрологии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