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21.08.2020, оставленным без изменения постановлением Восемнадцатого арбитражного апелляционного суда от 12.10.2020, заявленные требования удовлетворены. Постановлением Арбитражного суда Уральского округа от 28.01.2021 указанные судебные акты оставлены без изменения. Административный орган просит обжалуемые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Жилищного кодекса Российской Федерации,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 354, суды признали недоказанным наличие в действиях общества состава административного правонарушения, ответственность за совершение которого предусмотрена статьей 7.23 Кодекса Российской Федерации об административных правонарушениях, в том числе, не установив вины теплоснабжающей организации в нарушении температуры и перепаде давления поставляемого теплоносителя. Приведенные в кассационной жалобе доводы являлись предметом рассмотрения судов и получили исчерпывающую правовую оценку в соответствующих судебных актах, с учетом представленных доказательств, не согласиться с которой оснований не имеется. Ссылка на иную судебную практику подлежит отклонению, поскольку по приведенному делу спор касался иных фактических обстоятельств, связанных с привлечением ресурсоснабжающей компании к ответственности за совершение ею виновных действий, выразившихся в нарушении режима обеспечения населения коммунальными услугами.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приведено.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"ТеплоГрад" (подробнее) Ответчики: Главное управление "Государственная жилищная инспекция Челябинской области" (подробнее) Управление Федерального казначейства по Челябинской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