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09.06.2020, оставленным без изменения постановлением Девятого арбитражного апелляционного суда от 29.09.2020, ФИО1 привлечен к административной ответственности, предусмотренной частью 4 статьи 14.13 Кодекса Российской Федерации об административных правонарушениях и ему назначено административное наказание в виде штрафа в размере 40 000 рублей. Постановлением Арбитражного суда Московского округа от 26.01.2021 указанные судебные акты оставлены без изменения. ФИО1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доказанности административным органом факта совершения ФИО1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правонарушениях. Доводы жалобы были предметом рассмотрения судов и получили исчерпывающую правовую оценку применительно к представленным доказательствам и установленным обстоятельствам несвоевременного предоставления арбитражному управляющему сведений и документов, необходимых для исполнения возложенных на него обязанностей,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Прокуратура ВАО г.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