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03.07.2020, оставленным без изменения постановлением Девятого арбитражного апелляционного суда от 06.10.2020, в удовлетворении требований отказано. Постановлением Арбитражного суда Московского округа от 02.02.2021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167, 171, 172 Налогового кодекса Российской Федерации, суды отказали в удовлетворении заявленных требований, признав отсутствие правовых основания для исключения денежных средств, поступивших в виде авансов, из налоговой базы по налогу на добавленную стоимость. Приведенные в жалобе доводы были предметом исследования судов и получили исчерпывающую правовую оценку с учетом возможности 3 восстановления нарушенного права с учетом требований статей 171 и 172 Налогового кодекса Российской Федерации.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