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Ярославской области от 27.06.2020, оставленным без изменения постановлением Второго арбитражного апелляционного суда от 17.09.2020, заявленное требование удовлетворено. 2 Постановлением Арбитражного суда Волго-Вятского округа от 26.01.2021 указанные судебные акты отменены, дело направлено на новое рассмотрение в суд первой инстанции. Общество обратилось в Верховный Суд Российской Федерации с кассационной жалобой, в которой просит постановление суда округа отменить, считая его принятым с нарушением норм материального и процессуального права. Изучив изложенные в кассационной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Суд округа отменил судебные акты судов первой и апелляционной инстанций и направил дело на новое рассмотрение, действуя в пределах полномочий, предоставленных ему статьей 287 Арбитражного процессуального кодекса Российской Федерации, по основаниям, предусмотренным статьей 288 названного Кодекса. При этом суд округа указал на несоответствие содержащихся в судебных актах судов первой и апелляционной инстанций выводов установленным по делу фактическим обстоятельствам и имеющимся в деле доказательствам.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3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 при новом рассмотрении спора,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При указанных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