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10.08.2020, оставленным без изменения постановлением Восьмого 2 арбитражного апелляционного суда от 07.10.2020, заявленное требование удовлетворено. Постановлением Арбитражного суда Западно-Сибирского округа от 27.01.2021 указанные судебные акты оставлены без изменения. Административный орган обратился в Верховный Суд Российской Федерации с кассационной жалобой на принятые по делу судебные акты,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Поскольку суды на основании представленных в материалы дела доказательств признали, что обстоятельства, при которых обществом было совершено настоящее административное правонарушение, и его действия отвечают условиям, при наличии которых в соответствии со статьей 2.7 Кодекса Российской Федерации об административных правонарушениях возникает состояние крайней необходимости, оснований для иной оценки указанных обстоятельств у Судебной коллегии по экономическим спорам Верховного Суда Российской Федерации не имеется. Доводы жалобы не свидетельствуют о существенных нарушениях судами норм материального права и (или) норм процессуального права, повлиявших на 3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