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18.02.2021 дело передано по подсудности на рассмотрение Арбитражному суду Рязанской области. Постановлением Девятого арбитражного апелляционного суда от 25.03.2021 определение суда первой инстанции оставлено без изменения. 2 Предприниматель обратился в Верховный Суд Российской Федерации с кассационной жалобой, в которой просит названные судебные акты отменить, считая их принятыми с нарушением норм процессуального права. Исходя из доводов жалобы и принятых по делу судебных актов оснований для удовлетворения жалобы не установлено. Руководствуясь статьями 35, 39, 197 Арбитражного процессуального кодекса Российской Федерации, суд пришел к выводу о необходимости передачи дела в Арбитражный суд Рязанской области по месту нахождения административного органа.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обжалуемых судебных актов в кассационном порядке по доводам жалобы не установлено. При этом передача дела в другой суд не лишает заявителя гарантированного ему Конституцией Российской Федерации права на судебную защиту и не противоречит требованиям статьи 39 Арбитражного процессуального кодекса Российской Федерации.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