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29.07.2020, оставленным без изменения постановлением Девятого арбитражного апелляционного суда от 23.11.2020 и постановлением Арбитражного суда Московского округа от 22.03.2021, в удовлетворении исковых требований отказано. В кассационной жалобе, поданной в Верховный Суд Российской Федерации, организация,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кассационных жалоб не установлено.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нарушения обществом срока возврата денежных средств за автомобиль, уменьшив размер неустойки по ходатайству общества на основании статьи 333 Гражданского кодекса Российской Федерации в связи с ее несоразмерностью до 82 467 руб. 28 коп., принимая во внимание произведенную обществом в пользу истца выплату неустоек в сумме 100 000 руб., а также конкретные обстоятельства дела, руководствуясь статьями 15, 329, 330, 393, 394 Гражданского кодекса Российской Федерации, положениями Закона от 07.02.1992 № 2300-1 «О защите прав потребителей», разъяснениями, изложенными в постановлении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суды первой и апелляционной инстанций пришли к выводу об отсутствии оснований для удовлетворения исковых требований, с чем впоследствии согласился суд округа. С учетом установленных судами фактических обстоятельств настоящего дела доводы, изложенные заявителем в кассационной жалобе,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региональной общественной организации инвалидов «Отрада»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