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26.06.2020, оставленным без изменения постановлением Четвертого арбитражного апелляционного суда от 28.09.2020 и постановлением Арбитражного суда Восточно-Сибирского округа от 27.01.2021, в удовлетворении первоначального иска отказано в связи с истечением срока исковой давности, встречный иск удовлетворен. В кассационной жалобе предприниматель просит об отмене судебных актов, ссылаясь на неправильное исчисление срока исковой давности по его иску и сокрытие противной стороной документов об оказанных услугах.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соответствуют установленным обстоятельствам исполнения договора от 01.12.2013 № 150/ОУ-13 и статьям 199, 200, 1005, 1008 Гражданского кодекса Российской Федерации. Требуемая переоценка исполнения обязательств не отвечает критериям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Кабанову Николаю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