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03.02.2020, оставленным без изменения постановлением Десятого арбитражного апелляционного суда от 14.10.2020 и постановлением Арбитражного суда Московского округа от 28.01.2021, иск удовлетворен. В кассационной жалобе завод просит об отмене судебных актов, ссылаясь на причинно-следственную связь просрочки исполнения обязательства с действиями истца и неосновательные взыскание процентов и неуменьшение неустойки.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Условия для применения договорных последствий нарушения обязательства и обстоятельства, влияющие на размер ответственности (статья 333 Гражданского кодекса Российской Федерации), установлены судами в соответствии с компетенцией, и связанные с ними доводы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«Балашихинский литейно- механический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