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22.01.2020 неустойка взыскана с общества «Таманьнефтегаз». Пятнадцатый арбитражный апелляционный суд постановлением от 20.08.2020 рассмотрел дело по правилам для суда первой инстанции, привлек к участию в деле в качестве ответчика акционерное общество «НефтеТрансСервис», отменил решение от 22.01.2020 и удовлетворил иск за счет общества «Таманьнефтегаз». Арбитражный суд Северо-Кавказского округа постановлением от 27.01.2021 постановление Пятнадцатого арбитражного апелляционного суда от 20.08.2020 оставил без изменения. В кассационной жалобе общество «Таманьнефтегаз» просит об отмене судебных актов, ссылаясь на неправильное толкование условий заключенного 2 между истцом и обществом «НефтеТрансСервис» договора на организацию расчетов.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обязанность общества «Тюменьнефтегаз» как отправителя по оплате неустойки за неверное указание сведений о грузе основана на статьях 16, 31 Соглашения о международном железнодорожном грузовом сообщении. Исследовав содержание договора на организацию расчетов от 21.12.2007 № 162-жд, заключенного истцом с обществом «НефтеТрансСервис», суд установил, что среди согласованной в нем ответственности спорная неустойка не значится.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«Таманьнефтегаз»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