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19.06.2020, оставленным без изменения постановлением Двадцать первого арбитражного апелляционного суда от 21.09.2020 и постановлением Арбитражного суда Центрального округа от 29.01.2021, взыскано 12 155 779 рублей 14 копеек. В кассационной жалобе компания просит о пересмотре судебных актов, ссылаясь на недействительность уступки, неисследование фактической оплаты услуг,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денежные средства причитаются истцу как лицу, владеющему оздоровительным учреждением и фактически оказавшему услуги, поэтому признали неосновательное получение их компанией и взыскали с нее по правилу статьи 1102 Гражданского кодекса Российской Федерации. Рассмотрение дела в отсутствие надлежаще извещенной компании не является процессуальным нарушением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«Парус»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